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5"/>
        <w:gridCol w:w="4635"/>
      </w:tblGrid>
      <w:tr w:rsidR="0035306C" w:rsidRPr="00757245" w14:paraId="26E85FC4" w14:textId="77777777" w:rsidTr="0035306C">
        <w:tc>
          <w:tcPr>
            <w:tcW w:w="5395" w:type="dxa"/>
          </w:tcPr>
          <w:p w14:paraId="61F1D41F" w14:textId="13870129" w:rsidR="0035306C" w:rsidRPr="00757245" w:rsidRDefault="0035306C">
            <w:r w:rsidRPr="00757245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3954809B" w:rsidR="0035306C" w:rsidRPr="00757245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bookmarkStart w:id="0" w:name="_GoBack"/>
            <w:bookmarkEnd w:id="0"/>
            <w:r w:rsidRPr="00757245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:rsidRPr="00757245" w14:paraId="604F2EE2" w14:textId="77777777" w:rsidTr="0035306C">
        <w:tc>
          <w:tcPr>
            <w:tcW w:w="5395" w:type="dxa"/>
          </w:tcPr>
          <w:p w14:paraId="79837E1F" w14:textId="77777777" w:rsidR="0035306C" w:rsidRPr="00757245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57245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757245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6DA9B98E" w:rsidR="0035306C" w:rsidRPr="00C5779C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57245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757245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r w:rsidRPr="00757245">
              <w:rPr>
                <w:rFonts w:ascii="Sylfaen" w:eastAsia="Sylfaen" w:hAnsi="Sylfaen" w:cs="Sylfaen"/>
                <w:b/>
                <w:color w:val="000000"/>
              </w:rPr>
              <w:t>ომერი:</w:t>
            </w:r>
            <w:r w:rsidRPr="00757245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="00C5779C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CF6676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00-07</w:t>
            </w:r>
          </w:p>
          <w:p w14:paraId="19F9DB44" w14:textId="430B4328" w:rsidR="00757245" w:rsidRPr="00757245" w:rsidRDefault="00757245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>
              <w:rPr>
                <w:rFonts w:ascii="Sylfaen" w:eastAsia="Sylfaen" w:hAnsi="Sylfaen" w:cs="Sylfaen"/>
                <w:b/>
                <w:color w:val="000000"/>
                <w:lang w:val="ka-GE"/>
              </w:rPr>
              <w:t>და   დასახელება:</w:t>
            </w:r>
            <w:r>
              <w:rPr>
                <w:rFonts w:ascii="Sylfaen" w:eastAsia="Sylfaen" w:hAnsi="Sylfaen" w:cs="Sylfaen"/>
                <w:color w:val="000000"/>
                <w:lang w:val="ka-GE"/>
              </w:rPr>
              <w:t xml:space="preserve"> დიარეის მართვა</w:t>
            </w:r>
          </w:p>
          <w:p w14:paraId="774DD08A" w14:textId="221C1ED0" w:rsidR="0035306C" w:rsidRPr="00757245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</w:rPr>
            </w:pPr>
            <w:r w:rsidRPr="00757245">
              <w:rPr>
                <w:rFonts w:ascii="Sylfaen" w:eastAsia="Sylfaen" w:hAnsi="Sylfaen" w:cs="Sylfaen"/>
                <w:b/>
                <w:color w:val="000000"/>
              </w:rPr>
              <w:t>დამტკიცებულია:</w:t>
            </w:r>
            <w:r w:rsidRPr="00757245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757245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Pr="00757245">
              <w:rPr>
                <w:rFonts w:ascii="Sylfaen" w:eastAsia="Sylfaen" w:hAnsi="Sylfaen" w:cs="Sylfaen"/>
                <w:color w:val="000000"/>
              </w:rPr>
              <w:t xml:space="preserve"> 20</w:t>
            </w:r>
            <w:r w:rsidRPr="00757245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Pr="00757245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7F46333E" w14:textId="77777777" w:rsidR="0035306C" w:rsidRPr="00757245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</w:rPr>
            </w:pPr>
            <w:r w:rsidRPr="00757245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757245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757245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757245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757245">
              <w:rPr>
                <w:rFonts w:ascii="Sylfaen" w:eastAsia="Sylfaen" w:hAnsi="Sylfaen" w:cs="Sylfaen"/>
                <w:color w:val="000000"/>
              </w:rPr>
              <w:t>202</w:t>
            </w:r>
            <w:r w:rsidRPr="00757245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757245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757245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57245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757245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757245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757245" w:rsidRDefault="0035306C" w:rsidP="008A787E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757245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757245" w:rsidRDefault="0035306C" w:rsidP="008A787E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757245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5C932436" w:rsidR="0035306C" w:rsidRPr="00757245" w:rsidRDefault="0035306C" w:rsidP="008A787E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757245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757245">
              <w:rPr>
                <w:rFonts w:ascii="Sylfaen" w:eastAsia="Calibri" w:hAnsi="Sylfaen" w:cs="Sylfaen"/>
                <w:b/>
              </w:rPr>
              <w:t xml:space="preserve"> </w:t>
            </w:r>
            <w:r w:rsidRPr="00757245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="00C5779C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65E6BBE4" w:rsidR="00343918" w:rsidRPr="00757245" w:rsidRDefault="00CF6676"/>
    <w:p w14:paraId="229DCD22" w14:textId="77777777" w:rsidR="00645E0A" w:rsidRPr="00757245" w:rsidRDefault="00645E0A" w:rsidP="00645E0A">
      <w:pPr>
        <w:pStyle w:val="1"/>
        <w:numPr>
          <w:ilvl w:val="0"/>
          <w:numId w:val="0"/>
        </w:numPr>
        <w:ind w:left="720"/>
        <w:jc w:val="center"/>
        <w:rPr>
          <w:rFonts w:ascii="Sylfaen" w:hAnsi="Sylfaen"/>
          <w:bCs w:val="0"/>
          <w:color w:val="000000"/>
          <w:sz w:val="20"/>
          <w:szCs w:val="20"/>
          <w:lang w:val="ka-GE"/>
        </w:rPr>
      </w:pPr>
      <w:bookmarkStart w:id="1" w:name="_Toc367791974"/>
      <w:r w:rsidRPr="00757245">
        <w:rPr>
          <w:rFonts w:ascii="Sylfaen" w:hAnsi="Sylfaen" w:cs="Sylfaen"/>
          <w:bCs w:val="0"/>
          <w:color w:val="000000"/>
          <w:sz w:val="20"/>
          <w:szCs w:val="20"/>
          <w:lang w:val="ka-GE"/>
        </w:rPr>
        <w:t>დიარეის მართვ</w:t>
      </w:r>
      <w:bookmarkEnd w:id="1"/>
      <w:r w:rsidRPr="00757245">
        <w:rPr>
          <w:rFonts w:ascii="Sylfaen" w:hAnsi="Sylfaen" w:cs="Sylfaen"/>
          <w:bCs w:val="0"/>
          <w:color w:val="000000"/>
          <w:sz w:val="20"/>
          <w:szCs w:val="20"/>
          <w:lang w:val="ka-GE"/>
        </w:rPr>
        <w:t>ა</w:t>
      </w:r>
    </w:p>
    <w:p w14:paraId="1AD35DB5" w14:textId="77777777" w:rsidR="00645E0A" w:rsidRPr="00757245" w:rsidRDefault="00645E0A" w:rsidP="00645E0A">
      <w:pPr>
        <w:spacing w:line="360" w:lineRule="auto"/>
        <w:jc w:val="center"/>
        <w:rPr>
          <w:rFonts w:ascii="Sylfaen" w:hAnsi="Sylfaen" w:cs="AcadNusx"/>
          <w:color w:val="000000"/>
          <w:lang w:val="ka-GE"/>
        </w:rPr>
      </w:pPr>
      <w:r w:rsidRPr="00757245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</w:p>
    <w:p w14:paraId="39BE9FC1" w14:textId="77777777" w:rsidR="00645E0A" w:rsidRPr="00757245" w:rsidRDefault="00645E0A" w:rsidP="00645E0A">
      <w:pPr>
        <w:tabs>
          <w:tab w:val="left" w:pos="-851"/>
          <w:tab w:val="left" w:pos="284"/>
          <w:tab w:val="left" w:pos="426"/>
        </w:tabs>
        <w:ind w:left="284" w:hanging="284"/>
        <w:jc w:val="right"/>
        <w:rPr>
          <w:rFonts w:ascii="AHT Nus Light" w:hAnsi="AHT Nus Light"/>
          <w:color w:val="000000"/>
        </w:rPr>
      </w:pPr>
    </w:p>
    <w:p w14:paraId="61036F07" w14:textId="77777777" w:rsidR="00645E0A" w:rsidRPr="00757245" w:rsidRDefault="00645E0A" w:rsidP="00645E0A">
      <w:pPr>
        <w:tabs>
          <w:tab w:val="left" w:pos="-851"/>
          <w:tab w:val="left" w:pos="284"/>
          <w:tab w:val="left" w:pos="426"/>
        </w:tabs>
        <w:ind w:left="284" w:hanging="284"/>
        <w:rPr>
          <w:rFonts w:ascii="Sylfaen" w:hAnsi="Sylfaen"/>
          <w:b/>
          <w:color w:val="000000"/>
          <w:lang w:val="ka-GE"/>
        </w:rPr>
      </w:pPr>
      <w:r w:rsidRPr="00757245">
        <w:rPr>
          <w:rFonts w:ascii="Sylfaen" w:hAnsi="Sylfaen"/>
          <w:b/>
          <w:color w:val="000000"/>
          <w:lang w:val="ka-GE"/>
        </w:rPr>
        <w:t>მიზანი</w:t>
      </w:r>
    </w:p>
    <w:p w14:paraId="5BC7370F" w14:textId="77777777" w:rsidR="00645E0A" w:rsidRPr="00757245" w:rsidRDefault="00645E0A" w:rsidP="00645E0A">
      <w:pPr>
        <w:tabs>
          <w:tab w:val="left" w:pos="-851"/>
          <w:tab w:val="left" w:pos="284"/>
          <w:tab w:val="left" w:pos="426"/>
        </w:tabs>
        <w:ind w:left="284" w:hanging="284"/>
        <w:rPr>
          <w:rFonts w:ascii="Sylfaen" w:hAnsi="Sylfaen"/>
          <w:bCs/>
          <w:color w:val="000000"/>
          <w:lang w:val="ka-GE"/>
        </w:rPr>
      </w:pPr>
      <w:r w:rsidRPr="00757245">
        <w:rPr>
          <w:rFonts w:ascii="Sylfaen" w:hAnsi="Sylfaen"/>
          <w:bCs/>
          <w:color w:val="000000"/>
          <w:lang w:val="ka-GE"/>
        </w:rPr>
        <w:t>დიარეის პრევენცია და სიმპტომების შემსუბუქება.</w:t>
      </w:r>
    </w:p>
    <w:p w14:paraId="04981A49" w14:textId="77777777" w:rsidR="00645E0A" w:rsidRPr="00757245" w:rsidRDefault="00645E0A" w:rsidP="00645E0A">
      <w:pPr>
        <w:tabs>
          <w:tab w:val="left" w:pos="-851"/>
          <w:tab w:val="left" w:pos="284"/>
          <w:tab w:val="left" w:pos="426"/>
        </w:tabs>
        <w:ind w:left="284" w:hanging="284"/>
        <w:rPr>
          <w:rFonts w:ascii="Sylfaen" w:hAnsi="Sylfaen"/>
          <w:b/>
          <w:color w:val="000000"/>
          <w:lang w:val="ka-GE"/>
        </w:rPr>
      </w:pPr>
    </w:p>
    <w:p w14:paraId="5A352235" w14:textId="77777777" w:rsidR="00645E0A" w:rsidRPr="00757245" w:rsidRDefault="00645E0A" w:rsidP="00645E0A">
      <w:pPr>
        <w:tabs>
          <w:tab w:val="left" w:pos="-851"/>
          <w:tab w:val="left" w:pos="284"/>
          <w:tab w:val="left" w:pos="426"/>
        </w:tabs>
        <w:ind w:left="284" w:hanging="284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b/>
          <w:color w:val="000000"/>
          <w:lang w:val="ka-GE"/>
        </w:rPr>
        <w:t>პროცედურა</w:t>
      </w:r>
    </w:p>
    <w:p w14:paraId="436E343B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შეაგროვეთ ანამნეზი დიარეის განვითარებასთან დაკავშირებით;</w:t>
      </w:r>
    </w:p>
    <w:p w14:paraId="75D68144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 xml:space="preserve">თუ დიარეა გრძელდება, მიაწოდეთ ინფორმაცია ექიმს; </w:t>
      </w:r>
    </w:p>
    <w:p w14:paraId="4129F2A2" w14:textId="097617DF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 xml:space="preserve">ასწავლეთ პაციენტს </w:t>
      </w:r>
      <w:r w:rsidR="00621034" w:rsidRPr="00757245">
        <w:rPr>
          <w:rFonts w:ascii="Sylfaen" w:hAnsi="Sylfaen"/>
          <w:color w:val="000000"/>
          <w:lang w:val="ka-GE"/>
        </w:rPr>
        <w:t xml:space="preserve">და </w:t>
      </w:r>
      <w:r w:rsidRPr="00757245">
        <w:rPr>
          <w:rFonts w:ascii="Sylfaen" w:hAnsi="Sylfaen"/>
          <w:color w:val="000000"/>
          <w:lang w:val="ka-GE"/>
        </w:rPr>
        <w:t>თავმდგმურს დიარეის საწინააღმდეგო მედიკამენტების გამოყენება;</w:t>
      </w:r>
    </w:p>
    <w:p w14:paraId="014DFE1B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ასწავლეთ ოჯახის წევრებს აწარმოონ განავლის კონსისტენციის, ფორმის, მოცულობის, ფერის მონიტორინგი;</w:t>
      </w:r>
    </w:p>
    <w:p w14:paraId="281A0FB3" w14:textId="127E6EDA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შეაფასეთ მიღებული საკვების</w:t>
      </w:r>
      <w:r w:rsidR="00621034" w:rsidRPr="00757245">
        <w:rPr>
          <w:rFonts w:ascii="Sylfaen" w:hAnsi="Sylfaen"/>
          <w:color w:val="000000"/>
          <w:lang w:val="ka-GE"/>
        </w:rPr>
        <w:t xml:space="preserve"> </w:t>
      </w:r>
      <w:r w:rsidRPr="00757245">
        <w:rPr>
          <w:rFonts w:ascii="Sylfaen" w:hAnsi="Sylfaen"/>
          <w:color w:val="000000"/>
          <w:lang w:val="ka-GE"/>
        </w:rPr>
        <w:t>რაობა;</w:t>
      </w:r>
    </w:p>
    <w:p w14:paraId="0AD92138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წაახალისეთ საკვების მცირე ულუფებით ხშირი მიღება;</w:t>
      </w:r>
    </w:p>
    <w:p w14:paraId="46DC227E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შესთავაზეთ ლაქტოზის შემცველი საკვების ამოღება კვების რაციონიდან;</w:t>
      </w:r>
    </w:p>
    <w:p w14:paraId="0624265D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აწარმოეთ დიარეის სიმპტომების მონიტორინგი;</w:t>
      </w:r>
    </w:p>
    <w:p w14:paraId="33E06CD7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სთხოვეთ პაციენტის თავმდგმურს, დიარეის ყოველი ეპიზოდი შეატყობინოს სამედიცინო პერსონალს;</w:t>
      </w:r>
    </w:p>
    <w:p w14:paraId="43BC50A4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რეგულარულად დააკვირდით კანის ტურგორს;</w:t>
      </w:r>
    </w:p>
    <w:p w14:paraId="2A6E89EF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შეაფასეთ ანალური მიდამოს კანი გაღიზიანებაზე და წყლულების არსებობაზე;</w:t>
      </w:r>
    </w:p>
    <w:p w14:paraId="6DAE4DF1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განსაზღვრეთ განავლის რაოდენობა;</w:t>
      </w:r>
    </w:p>
    <w:p w14:paraId="52F118A0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რეგულარულად აწონეთ პაციენტი;</w:t>
      </w:r>
    </w:p>
    <w:p w14:paraId="064A988E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შეატყობინეთ ექიმს თუ მოიმატა ნაწლავების პერისტალტიკამ;</w:t>
      </w:r>
    </w:p>
    <w:p w14:paraId="76CB3EAC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კონსულტაცია გაიარეთ ექიმთან თუ დიარეა მუდმივია;</w:t>
      </w:r>
    </w:p>
    <w:p w14:paraId="6E304A70" w14:textId="77777777" w:rsidR="00645E0A" w:rsidRPr="00757245" w:rsidRDefault="00645E0A" w:rsidP="00621034">
      <w:pPr>
        <w:pStyle w:val="a4"/>
        <w:numPr>
          <w:ilvl w:val="0"/>
          <w:numId w:val="3"/>
        </w:numPr>
        <w:tabs>
          <w:tab w:val="left" w:pos="-851"/>
          <w:tab w:val="left" w:pos="284"/>
          <w:tab w:val="left" w:pos="426"/>
        </w:tabs>
        <w:spacing w:after="200" w:line="276" w:lineRule="auto"/>
        <w:ind w:left="270" w:hanging="180"/>
        <w:rPr>
          <w:rFonts w:ascii="Sylfaen" w:hAnsi="Sylfaen"/>
          <w:color w:val="000000"/>
          <w:lang w:val="ka-GE"/>
        </w:rPr>
      </w:pPr>
      <w:r w:rsidRPr="00757245">
        <w:rPr>
          <w:rFonts w:ascii="Sylfaen" w:hAnsi="Sylfaen"/>
          <w:color w:val="000000"/>
          <w:lang w:val="ka-GE"/>
        </w:rPr>
        <w:t>საჭიროების შემთხვევაში გამოიყენეთ ცელულოზით ღარიბი და ცილებით მდიდარი, მაღალკალორიული დიეტა.</w:t>
      </w:r>
    </w:p>
    <w:p w14:paraId="4DA49190" w14:textId="77777777" w:rsidR="00645E0A" w:rsidRPr="00757245" w:rsidRDefault="00645E0A" w:rsidP="00645E0A">
      <w:pPr>
        <w:pStyle w:val="a4"/>
        <w:tabs>
          <w:tab w:val="left" w:pos="-851"/>
          <w:tab w:val="left" w:pos="284"/>
          <w:tab w:val="left" w:pos="426"/>
        </w:tabs>
        <w:spacing w:after="200" w:line="276" w:lineRule="auto"/>
        <w:ind w:left="270"/>
        <w:rPr>
          <w:rFonts w:ascii="Sylfaen" w:hAnsi="Sylfaen"/>
          <w:lang w:val="ka-GE"/>
        </w:rPr>
      </w:pPr>
    </w:p>
    <w:p w14:paraId="3D712A4A" w14:textId="77777777" w:rsidR="00645E0A" w:rsidRPr="00757245" w:rsidRDefault="00645E0A" w:rsidP="00645E0A">
      <w:pPr>
        <w:pStyle w:val="a4"/>
        <w:tabs>
          <w:tab w:val="left" w:pos="-851"/>
          <w:tab w:val="left" w:pos="0"/>
          <w:tab w:val="left" w:pos="426"/>
        </w:tabs>
        <w:ind w:left="0"/>
        <w:rPr>
          <w:rFonts w:ascii="Sylfaen" w:hAnsi="Sylfaen" w:cs="Sylfaen"/>
          <w:b/>
          <w:bCs/>
          <w:lang w:val="ka-GE"/>
        </w:rPr>
      </w:pPr>
    </w:p>
    <w:p w14:paraId="39701EB7" w14:textId="77777777" w:rsidR="00645E0A" w:rsidRPr="00757245" w:rsidRDefault="00645E0A" w:rsidP="00645E0A">
      <w:pPr>
        <w:pStyle w:val="a4"/>
        <w:tabs>
          <w:tab w:val="left" w:pos="-851"/>
          <w:tab w:val="left" w:pos="0"/>
          <w:tab w:val="left" w:pos="426"/>
        </w:tabs>
        <w:ind w:left="0"/>
        <w:rPr>
          <w:rFonts w:ascii="Sylfaen" w:hAnsi="Sylfaen" w:cs="Sylfaen"/>
          <w:b/>
          <w:bCs/>
          <w:lang w:val="ka-GE"/>
        </w:rPr>
      </w:pPr>
    </w:p>
    <w:p w14:paraId="1D573769" w14:textId="77777777" w:rsidR="00645E0A" w:rsidRPr="00757245" w:rsidRDefault="00645E0A" w:rsidP="00645E0A">
      <w:pPr>
        <w:pStyle w:val="a4"/>
        <w:tabs>
          <w:tab w:val="left" w:pos="-851"/>
          <w:tab w:val="left" w:pos="0"/>
          <w:tab w:val="left" w:pos="426"/>
        </w:tabs>
        <w:ind w:left="0"/>
        <w:rPr>
          <w:rFonts w:ascii="Sylfaen" w:hAnsi="Sylfaen"/>
          <w:b/>
          <w:bCs/>
        </w:rPr>
      </w:pPr>
      <w:r w:rsidRPr="00757245">
        <w:rPr>
          <w:rFonts w:ascii="Sylfaen" w:hAnsi="Sylfaen" w:cs="Sylfaen"/>
          <w:b/>
          <w:bCs/>
          <w:lang w:val="ka-GE"/>
        </w:rPr>
        <w:t>გამოყე</w:t>
      </w:r>
      <w:r w:rsidRPr="00757245">
        <w:rPr>
          <w:rFonts w:ascii="Sylfaen" w:hAnsi="Sylfaen"/>
          <w:b/>
          <w:bCs/>
          <w:lang w:val="ka-GE"/>
        </w:rPr>
        <w:t>ნებული ლიტერატურა:</w:t>
      </w:r>
    </w:p>
    <w:p w14:paraId="35F58452" w14:textId="77777777" w:rsidR="00645E0A" w:rsidRPr="00757245" w:rsidRDefault="00645E0A" w:rsidP="00645E0A">
      <w:pPr>
        <w:pStyle w:val="a4"/>
        <w:tabs>
          <w:tab w:val="left" w:pos="-851"/>
          <w:tab w:val="left" w:pos="0"/>
          <w:tab w:val="left" w:pos="426"/>
        </w:tabs>
        <w:ind w:left="0"/>
        <w:rPr>
          <w:rFonts w:ascii="Sylfaen" w:hAnsi="Sylfaen"/>
          <w:b/>
          <w:bCs/>
        </w:rPr>
      </w:pPr>
    </w:p>
    <w:p w14:paraId="26E21B14" w14:textId="77777777" w:rsidR="00645E0A" w:rsidRPr="00757245" w:rsidRDefault="00645E0A" w:rsidP="00621034">
      <w:pPr>
        <w:pStyle w:val="a4"/>
        <w:numPr>
          <w:ilvl w:val="0"/>
          <w:numId w:val="4"/>
        </w:numPr>
        <w:tabs>
          <w:tab w:val="left" w:pos="-851"/>
          <w:tab w:val="left" w:pos="-567"/>
          <w:tab w:val="left" w:pos="426"/>
        </w:tabs>
        <w:spacing w:after="200" w:line="276" w:lineRule="auto"/>
        <w:rPr>
          <w:rFonts w:ascii="Sylfaen" w:hAnsi="Sylfaen"/>
        </w:rPr>
      </w:pPr>
      <w:r w:rsidRPr="00757245">
        <w:rPr>
          <w:rFonts w:ascii="Sylfaen" w:hAnsi="Sylfaen"/>
        </w:rPr>
        <w:t xml:space="preserve">Hogan, C.M. The nurse’s role in diarrhea management, </w:t>
      </w:r>
    </w:p>
    <w:p w14:paraId="4B358736" w14:textId="77777777" w:rsidR="00645E0A" w:rsidRPr="00757245" w:rsidRDefault="00645E0A" w:rsidP="00621034">
      <w:pPr>
        <w:pStyle w:val="a4"/>
        <w:numPr>
          <w:ilvl w:val="0"/>
          <w:numId w:val="4"/>
        </w:numPr>
        <w:tabs>
          <w:tab w:val="left" w:pos="-851"/>
          <w:tab w:val="left" w:pos="-567"/>
          <w:tab w:val="left" w:pos="426"/>
        </w:tabs>
        <w:spacing w:after="200" w:line="276" w:lineRule="auto"/>
        <w:rPr>
          <w:rFonts w:ascii="Sylfaen" w:hAnsi="Sylfaen"/>
        </w:rPr>
      </w:pPr>
      <w:r w:rsidRPr="00757245">
        <w:rPr>
          <w:rFonts w:ascii="Sylfaen" w:hAnsi="Sylfaen"/>
        </w:rPr>
        <w:lastRenderedPageBreak/>
        <w:t xml:space="preserve">Oncology Nurse Forum, 25(5), 879-886. Taylor, C.M. </w:t>
      </w:r>
    </w:p>
    <w:p w14:paraId="5F90FE41" w14:textId="77777777" w:rsidR="00645E0A" w:rsidRPr="00757245" w:rsidRDefault="00645E0A" w:rsidP="00621034">
      <w:pPr>
        <w:pStyle w:val="a4"/>
        <w:numPr>
          <w:ilvl w:val="0"/>
          <w:numId w:val="4"/>
        </w:numPr>
        <w:tabs>
          <w:tab w:val="left" w:pos="-851"/>
          <w:tab w:val="left" w:pos="-567"/>
          <w:tab w:val="left" w:pos="426"/>
        </w:tabs>
        <w:spacing w:after="200" w:line="276" w:lineRule="auto"/>
        <w:rPr>
          <w:rFonts w:ascii="Sylfaen" w:hAnsi="Sylfaen"/>
        </w:rPr>
      </w:pPr>
      <w:r w:rsidRPr="00757245">
        <w:rPr>
          <w:rFonts w:ascii="Sylfaen" w:hAnsi="Sylfaen"/>
        </w:rPr>
        <w:t xml:space="preserve">Nursing diagnosis cards. Springhouse, PA: Springhouse Corporation. Wadle, </w:t>
      </w:r>
    </w:p>
    <w:p w14:paraId="5876E312" w14:textId="77777777" w:rsidR="00645E0A" w:rsidRPr="00757245" w:rsidRDefault="00645E0A" w:rsidP="00621034">
      <w:pPr>
        <w:pStyle w:val="a4"/>
        <w:numPr>
          <w:ilvl w:val="0"/>
          <w:numId w:val="4"/>
        </w:numPr>
        <w:tabs>
          <w:tab w:val="left" w:pos="-851"/>
          <w:tab w:val="left" w:pos="-567"/>
          <w:tab w:val="left" w:pos="426"/>
        </w:tabs>
        <w:spacing w:after="200" w:line="276" w:lineRule="auto"/>
        <w:rPr>
          <w:rFonts w:ascii="Sylfaen" w:hAnsi="Sylfaen"/>
        </w:rPr>
      </w:pPr>
      <w:r w:rsidRPr="00757245">
        <w:rPr>
          <w:rFonts w:ascii="Sylfaen" w:hAnsi="Sylfaen"/>
        </w:rPr>
        <w:t>Diarrhea. In Maas, M.L., Buckwalter, K.C., Hardy, M.D., Reimer, T.T., Titler, M.G., &amp; Specht, J.P. (Eds.).</w:t>
      </w:r>
    </w:p>
    <w:p w14:paraId="63F2131C" w14:textId="77777777" w:rsidR="00645E0A" w:rsidRPr="00757245" w:rsidRDefault="00645E0A" w:rsidP="00621034">
      <w:pPr>
        <w:pStyle w:val="a4"/>
        <w:numPr>
          <w:ilvl w:val="0"/>
          <w:numId w:val="4"/>
        </w:numPr>
        <w:tabs>
          <w:tab w:val="left" w:pos="-851"/>
          <w:tab w:val="left" w:pos="-567"/>
          <w:tab w:val="left" w:pos="426"/>
        </w:tabs>
        <w:spacing w:after="200" w:line="276" w:lineRule="auto"/>
        <w:rPr>
          <w:rFonts w:ascii="Sylfaen" w:hAnsi="Sylfaen"/>
        </w:rPr>
      </w:pPr>
      <w:r w:rsidRPr="00757245">
        <w:rPr>
          <w:rFonts w:ascii="Sylfaen" w:hAnsi="Sylfaen"/>
        </w:rPr>
        <w:t xml:space="preserve">Nursing care of older adults: Diagnoses, outcomes, &amp; interventions (pp. 227-237). St. Louis: Mosby. Williams, M.S., Harper, R., Magnuson, B., Loan, T., Kearney, </w:t>
      </w:r>
    </w:p>
    <w:p w14:paraId="58D416C0" w14:textId="77777777" w:rsidR="00645E0A" w:rsidRPr="00757245" w:rsidRDefault="00645E0A" w:rsidP="00621034">
      <w:pPr>
        <w:pStyle w:val="a4"/>
        <w:numPr>
          <w:ilvl w:val="0"/>
          <w:numId w:val="4"/>
        </w:numPr>
        <w:tabs>
          <w:tab w:val="left" w:pos="-851"/>
          <w:tab w:val="left" w:pos="-567"/>
          <w:tab w:val="left" w:pos="426"/>
        </w:tabs>
        <w:spacing w:after="200" w:line="276" w:lineRule="auto"/>
        <w:rPr>
          <w:rFonts w:ascii="Sylfaen" w:hAnsi="Sylfaen"/>
        </w:rPr>
      </w:pPr>
      <w:r w:rsidRPr="00757245">
        <w:rPr>
          <w:rFonts w:ascii="Sylfaen" w:hAnsi="Sylfaen"/>
        </w:rPr>
        <w:t>Diarrhea management in enterally fed patients. Nutrition in Clinical Problems, 13, 225-229.</w:t>
      </w:r>
    </w:p>
    <w:p w14:paraId="5B79AE12" w14:textId="77777777" w:rsidR="00645E0A" w:rsidRPr="00757245" w:rsidRDefault="00645E0A" w:rsidP="00621034">
      <w:pPr>
        <w:pStyle w:val="a4"/>
        <w:numPr>
          <w:ilvl w:val="0"/>
          <w:numId w:val="4"/>
        </w:numPr>
        <w:spacing w:after="160" w:line="256" w:lineRule="auto"/>
        <w:rPr>
          <w:rFonts w:ascii="Sylfaen" w:hAnsi="Sylfaen"/>
        </w:rPr>
      </w:pPr>
      <w:r w:rsidRPr="00757245">
        <w:rPr>
          <w:rFonts w:ascii="Sylfaen" w:hAnsi="Sylfaen"/>
        </w:rPr>
        <w:t>The nurse's role in diarrhea management</w:t>
      </w:r>
      <w:r w:rsidRPr="00757245">
        <w:rPr>
          <w:rFonts w:ascii="Sylfaen" w:hAnsi="Sylfaen"/>
          <w:lang w:val="ka-GE"/>
        </w:rPr>
        <w:t>:</w:t>
      </w:r>
    </w:p>
    <w:p w14:paraId="6617DF13" w14:textId="77777777" w:rsidR="00645E0A" w:rsidRPr="00757245" w:rsidRDefault="00CF6676" w:rsidP="00645E0A">
      <w:pPr>
        <w:pStyle w:val="a4"/>
        <w:rPr>
          <w:rFonts w:ascii="Sylfaen" w:hAnsi="Sylfaen"/>
        </w:rPr>
      </w:pPr>
      <w:hyperlink r:id="rId6" w:history="1">
        <w:r w:rsidR="00645E0A" w:rsidRPr="00757245">
          <w:rPr>
            <w:rStyle w:val="a5"/>
            <w:rFonts w:ascii="Sylfaen" w:hAnsi="Sylfaen"/>
          </w:rPr>
          <w:t>https://pubmed.ncbi.nlm.nih.gov/9644704/</w:t>
        </w:r>
      </w:hyperlink>
    </w:p>
    <w:p w14:paraId="3CD5C361" w14:textId="77777777" w:rsidR="00645E0A" w:rsidRPr="00757245" w:rsidRDefault="00645E0A" w:rsidP="00621034">
      <w:pPr>
        <w:pStyle w:val="a4"/>
        <w:numPr>
          <w:ilvl w:val="0"/>
          <w:numId w:val="4"/>
        </w:numPr>
        <w:spacing w:after="160" w:line="256" w:lineRule="auto"/>
        <w:rPr>
          <w:rFonts w:ascii="Sylfaen" w:hAnsi="Sylfaen"/>
        </w:rPr>
      </w:pPr>
      <w:r w:rsidRPr="00757245">
        <w:rPr>
          <w:rFonts w:ascii="Sylfaen" w:hAnsi="Sylfaen"/>
        </w:rPr>
        <w:t>An Integrative Review of the Role of the Oral and Gut Microbiome in Oral Health Symptomatology During Cancer Therapy ONF 2021, 48(3), 317-331 DOI: 10.1188/21.ONF.317-331</w:t>
      </w:r>
      <w:r w:rsidRPr="00757245">
        <w:rPr>
          <w:rFonts w:ascii="Sylfaen" w:hAnsi="Sylfaen"/>
          <w:lang w:val="ka-GE"/>
        </w:rPr>
        <w:t>:</w:t>
      </w:r>
    </w:p>
    <w:p w14:paraId="6FB53428" w14:textId="77777777" w:rsidR="00645E0A" w:rsidRPr="00757245" w:rsidRDefault="00CF6676" w:rsidP="00645E0A">
      <w:pPr>
        <w:pStyle w:val="a4"/>
        <w:rPr>
          <w:rFonts w:ascii="Sylfaen" w:hAnsi="Sylfaen"/>
          <w:lang w:val="ka-GE"/>
        </w:rPr>
      </w:pPr>
      <w:hyperlink r:id="rId7" w:history="1">
        <w:r w:rsidR="00645E0A" w:rsidRPr="00757245">
          <w:rPr>
            <w:rStyle w:val="a5"/>
            <w:rFonts w:ascii="Sylfaen" w:hAnsi="Sylfaen"/>
            <w:lang w:val="ka-GE"/>
          </w:rPr>
          <w:t>https://onf.ons.org/onf/48/3/integrative-review-role-oral-and-gut-microbiome-oral-health-symptomatology-during-cancer</w:t>
        </w:r>
      </w:hyperlink>
      <w:r w:rsidR="00645E0A" w:rsidRPr="00757245">
        <w:rPr>
          <w:rFonts w:ascii="Sylfaen" w:hAnsi="Sylfaen"/>
          <w:lang w:val="ka-GE"/>
        </w:rPr>
        <w:t>;</w:t>
      </w:r>
    </w:p>
    <w:p w14:paraId="159ECD28" w14:textId="77777777" w:rsidR="00645E0A" w:rsidRPr="00757245" w:rsidRDefault="00645E0A" w:rsidP="00621034">
      <w:pPr>
        <w:pStyle w:val="a4"/>
        <w:numPr>
          <w:ilvl w:val="0"/>
          <w:numId w:val="5"/>
        </w:numPr>
        <w:spacing w:after="160" w:line="256" w:lineRule="auto"/>
        <w:rPr>
          <w:rFonts w:ascii="Sylfaen" w:hAnsi="Sylfaen"/>
        </w:rPr>
      </w:pPr>
      <w:r w:rsidRPr="00757245">
        <w:rPr>
          <w:rFonts w:ascii="Sylfaen" w:hAnsi="Sylfaen"/>
          <w:lang w:val="ka-GE"/>
        </w:rPr>
        <w:t>Assessment and management of diarrhoea</w:t>
      </w:r>
      <w:r w:rsidRPr="00757245">
        <w:rPr>
          <w:rFonts w:ascii="Sylfaen" w:hAnsi="Sylfaen"/>
        </w:rPr>
        <w:t xml:space="preserve"> - </w:t>
      </w:r>
      <w:hyperlink r:id="rId8" w:history="1">
        <w:r w:rsidRPr="00757245">
          <w:rPr>
            <w:rStyle w:val="a5"/>
            <w:rFonts w:ascii="Sylfaen" w:hAnsi="Sylfaen"/>
          </w:rPr>
          <w:t>https://www.nursingtimes.net/clinical-archive/continence/assessment-and-management-of-diarrhoea-26-07-2013/</w:t>
        </w:r>
      </w:hyperlink>
    </w:p>
    <w:p w14:paraId="08313D4B" w14:textId="77777777" w:rsidR="00645E0A" w:rsidRPr="00757245" w:rsidRDefault="00645E0A" w:rsidP="00621034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ascii="Sylfaen" w:hAnsi="Sylfaen"/>
        </w:rPr>
      </w:pPr>
      <w:r w:rsidRPr="00757245">
        <w:rPr>
          <w:rFonts w:ascii="Sylfaen" w:hAnsi="Sylfaen"/>
        </w:rPr>
        <w:t>INTERNATIONAL COUNCIL OF NURSES GUIDELINES ON ADVANCED PRACTICE NURSING 2020 –</w:t>
      </w:r>
    </w:p>
    <w:p w14:paraId="64091DD7" w14:textId="77777777" w:rsidR="00645E0A" w:rsidRPr="00757245" w:rsidRDefault="00645E0A" w:rsidP="00645E0A">
      <w:pPr>
        <w:autoSpaceDE w:val="0"/>
        <w:autoSpaceDN w:val="0"/>
        <w:adjustRightInd w:val="0"/>
        <w:rPr>
          <w:rFonts w:ascii="Sylfaen" w:hAnsi="Sylfaen"/>
          <w:lang w:val="ka-GE"/>
        </w:rPr>
      </w:pPr>
      <w:r w:rsidRPr="00757245">
        <w:rPr>
          <w:rFonts w:ascii="Sylfaen" w:hAnsi="Sylfaen"/>
          <w:lang w:val="ka-GE"/>
        </w:rPr>
        <w:t xml:space="preserve">              </w:t>
      </w:r>
      <w:hyperlink r:id="rId9" w:history="1">
        <w:r w:rsidRPr="00757245">
          <w:rPr>
            <w:rStyle w:val="a5"/>
            <w:rFonts w:ascii="Sylfaen" w:hAnsi="Sylfaen"/>
            <w:lang w:val="ka-GE"/>
          </w:rPr>
          <w:t>https://www.icn.ch/system/files/documents/2020-04/ICN_APN%20Report_EN_WEB.pdf</w:t>
        </w:r>
      </w:hyperlink>
    </w:p>
    <w:p w14:paraId="4CCAB8C4" w14:textId="77777777" w:rsidR="00645E0A" w:rsidRPr="00757245" w:rsidRDefault="00645E0A" w:rsidP="00621034">
      <w:pPr>
        <w:pStyle w:val="a4"/>
        <w:numPr>
          <w:ilvl w:val="0"/>
          <w:numId w:val="6"/>
        </w:numPr>
        <w:spacing w:after="160" w:line="256" w:lineRule="auto"/>
        <w:rPr>
          <w:rFonts w:ascii="Sylfaen" w:hAnsi="Sylfaen"/>
          <w:lang w:val="ka-GE"/>
        </w:rPr>
      </w:pPr>
      <w:r w:rsidRPr="00757245">
        <w:rPr>
          <w:rFonts w:ascii="Sylfaen" w:hAnsi="Sylfaen"/>
        </w:rPr>
        <w:t>2017 Infectious Diseases Society of America Clinical Practice Guidelines for the Diagnosis and Management of Infectious Diarrhea</w:t>
      </w:r>
      <w:r w:rsidRPr="00757245">
        <w:rPr>
          <w:rFonts w:ascii="Sylfaen" w:hAnsi="Sylfaen"/>
          <w:lang w:val="ka-GE"/>
        </w:rPr>
        <w:t>.</w:t>
      </w:r>
    </w:p>
    <w:p w14:paraId="181F141E" w14:textId="77777777" w:rsidR="00645E0A" w:rsidRPr="00757245" w:rsidRDefault="00645E0A" w:rsidP="00645E0A">
      <w:pPr>
        <w:ind w:left="720"/>
        <w:rPr>
          <w:rFonts w:ascii="Sylfaen" w:hAnsi="Sylfaen"/>
          <w:color w:val="000000"/>
          <w:lang w:val="ka-GE"/>
        </w:rPr>
      </w:pPr>
    </w:p>
    <w:p w14:paraId="5FC3160F" w14:textId="77777777" w:rsidR="006C0D63" w:rsidRPr="00757245" w:rsidRDefault="006C0D63"/>
    <w:sectPr w:rsidR="006C0D63" w:rsidRPr="00757245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HT Nus Light">
    <w:altName w:val="Sylfaen"/>
    <w:charset w:val="00"/>
    <w:family w:val="auto"/>
    <w:pitch w:val="variable"/>
    <w:sig w:usb0="84000003" w:usb1="0000000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1" w15:restartNumberingAfterBreak="0">
    <w:nsid w:val="27C565D8"/>
    <w:multiLevelType w:val="hybridMultilevel"/>
    <w:tmpl w:val="BB6835D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9F71435"/>
    <w:multiLevelType w:val="hybridMultilevel"/>
    <w:tmpl w:val="D0529A28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589" w:hanging="360"/>
      </w:pPr>
    </w:lvl>
    <w:lvl w:ilvl="2" w:tplc="0409001B">
      <w:start w:val="1"/>
      <w:numFmt w:val="lowerRoman"/>
      <w:lvlText w:val="%3."/>
      <w:lvlJc w:val="right"/>
      <w:pPr>
        <w:ind w:left="1309" w:hanging="180"/>
      </w:pPr>
    </w:lvl>
    <w:lvl w:ilvl="3" w:tplc="0409000F">
      <w:start w:val="1"/>
      <w:numFmt w:val="decimal"/>
      <w:lvlText w:val="%4."/>
      <w:lvlJc w:val="left"/>
      <w:pPr>
        <w:ind w:left="2029" w:hanging="360"/>
      </w:pPr>
    </w:lvl>
    <w:lvl w:ilvl="4" w:tplc="04090019">
      <w:start w:val="1"/>
      <w:numFmt w:val="lowerLetter"/>
      <w:lvlText w:val="%5."/>
      <w:lvlJc w:val="left"/>
      <w:pPr>
        <w:ind w:left="2749" w:hanging="360"/>
      </w:pPr>
    </w:lvl>
    <w:lvl w:ilvl="5" w:tplc="0409001B">
      <w:start w:val="1"/>
      <w:numFmt w:val="lowerRoman"/>
      <w:lvlText w:val="%6."/>
      <w:lvlJc w:val="right"/>
      <w:pPr>
        <w:ind w:left="3469" w:hanging="180"/>
      </w:pPr>
    </w:lvl>
    <w:lvl w:ilvl="6" w:tplc="0409000F">
      <w:start w:val="1"/>
      <w:numFmt w:val="decimal"/>
      <w:lvlText w:val="%7."/>
      <w:lvlJc w:val="left"/>
      <w:pPr>
        <w:ind w:left="4189" w:hanging="360"/>
      </w:pPr>
    </w:lvl>
    <w:lvl w:ilvl="7" w:tplc="04090019">
      <w:start w:val="1"/>
      <w:numFmt w:val="lowerLetter"/>
      <w:lvlText w:val="%8."/>
      <w:lvlJc w:val="left"/>
      <w:pPr>
        <w:ind w:left="4909" w:hanging="360"/>
      </w:pPr>
    </w:lvl>
    <w:lvl w:ilvl="8" w:tplc="0409001B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5E941A05"/>
    <w:multiLevelType w:val="hybridMultilevel"/>
    <w:tmpl w:val="1176341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12A22"/>
    <w:multiLevelType w:val="hybridMultilevel"/>
    <w:tmpl w:val="319CB40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1D410A"/>
    <w:rsid w:val="002C11D1"/>
    <w:rsid w:val="0035306C"/>
    <w:rsid w:val="003B54C7"/>
    <w:rsid w:val="00486C64"/>
    <w:rsid w:val="00503CDA"/>
    <w:rsid w:val="0058454B"/>
    <w:rsid w:val="00621034"/>
    <w:rsid w:val="00645E0A"/>
    <w:rsid w:val="006C0D63"/>
    <w:rsid w:val="00757245"/>
    <w:rsid w:val="007F2AD2"/>
    <w:rsid w:val="008844AA"/>
    <w:rsid w:val="008A787E"/>
    <w:rsid w:val="00925D0F"/>
    <w:rsid w:val="00995C68"/>
    <w:rsid w:val="009D1513"/>
    <w:rsid w:val="00A048FA"/>
    <w:rsid w:val="00A77913"/>
    <w:rsid w:val="00A95671"/>
    <w:rsid w:val="00AD4D27"/>
    <w:rsid w:val="00B42C7D"/>
    <w:rsid w:val="00C152BA"/>
    <w:rsid w:val="00C5779C"/>
    <w:rsid w:val="00C742BE"/>
    <w:rsid w:val="00C80B32"/>
    <w:rsid w:val="00CC35C2"/>
    <w:rsid w:val="00CC76FD"/>
    <w:rsid w:val="00CF6676"/>
    <w:rsid w:val="00D662DE"/>
    <w:rsid w:val="00E7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ursingtimes.net/clinical-archive/continence/assessment-and-management-of-diarrhoea-26-07-201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f.ons.org/onf/48/3/integrative-review-role-oral-and-gut-microbiome-oral-health-symptomatology-during-canc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med.ncbi.nlm.nih.gov/9644704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cn.ch/system/files/documents/2020-04/ICN_APN%20Report_EN_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10</cp:revision>
  <dcterms:created xsi:type="dcterms:W3CDTF">2024-06-17T23:06:00Z</dcterms:created>
  <dcterms:modified xsi:type="dcterms:W3CDTF">2024-08-02T18:10:00Z</dcterms:modified>
</cp:coreProperties>
</file>